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60316">
      <w:pPr>
        <w:jc w:val="center"/>
        <w:rPr>
          <w:rFonts w:ascii="微软雅黑" w:hAnsi="微软雅黑" w:eastAsia="微软雅黑" w:cs="微软雅黑"/>
          <w:i w:val="0"/>
          <w:iCs w:val="0"/>
          <w:caps w:val="0"/>
          <w:color w:val="000000"/>
          <w:spacing w:val="0"/>
          <w:sz w:val="24"/>
          <w:szCs w:val="24"/>
          <w:shd w:val="clear" w:fill="FFFFFF"/>
        </w:rPr>
      </w:pPr>
      <w:bookmarkStart w:id="0" w:name="_GoBack"/>
      <w:r>
        <w:rPr>
          <w:rFonts w:ascii="微软雅黑" w:hAnsi="微软雅黑" w:eastAsia="微软雅黑" w:cs="微软雅黑"/>
          <w:i w:val="0"/>
          <w:iCs w:val="0"/>
          <w:caps w:val="0"/>
          <w:color w:val="000000"/>
          <w:spacing w:val="0"/>
          <w:sz w:val="24"/>
          <w:szCs w:val="24"/>
          <w:shd w:val="clear" w:fill="FFFFFF"/>
        </w:rPr>
        <w:t>市住房城乡建设委关于建立完善房屋建筑和市政基础设施工程施工风险分级管控和隐患排查治理双重预防机制的通知</w:t>
      </w:r>
      <w:bookmarkEnd w:id="0"/>
    </w:p>
    <w:p w14:paraId="7161DB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微软雅黑" w:hAnsi="微软雅黑" w:eastAsia="微软雅黑" w:cs="微软雅黑"/>
          <w:i w:val="0"/>
          <w:iCs w:val="0"/>
          <w:caps w:val="0"/>
          <w:color w:val="3A3A3A"/>
          <w:spacing w:val="0"/>
          <w:sz w:val="16"/>
          <w:szCs w:val="16"/>
        </w:rPr>
      </w:pPr>
      <w:r>
        <w:rPr>
          <w:rFonts w:hint="eastAsia" w:ascii="微软雅黑" w:hAnsi="微软雅黑" w:eastAsia="微软雅黑" w:cs="微软雅黑"/>
          <w:i w:val="0"/>
          <w:iCs w:val="0"/>
          <w:caps w:val="0"/>
          <w:color w:val="3A3A3A"/>
          <w:spacing w:val="0"/>
          <w:sz w:val="16"/>
          <w:szCs w:val="16"/>
          <w:bdr w:val="none" w:color="auto" w:sz="0" w:space="0"/>
          <w:shd w:val="clear" w:fill="FFFFFF"/>
        </w:rPr>
        <w:t>市住建执法总队,各区住建委,各有关单位:</w:t>
      </w:r>
    </w:p>
    <w:p w14:paraId="16A68F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A3A3A"/>
          <w:spacing w:val="0"/>
          <w:sz w:val="16"/>
          <w:szCs w:val="16"/>
        </w:rPr>
      </w:pPr>
      <w:r>
        <w:rPr>
          <w:rFonts w:hint="eastAsia" w:ascii="微软雅黑" w:hAnsi="微软雅黑" w:eastAsia="微软雅黑" w:cs="微软雅黑"/>
          <w:i w:val="0"/>
          <w:iCs w:val="0"/>
          <w:caps w:val="0"/>
          <w:color w:val="3A3A3A"/>
          <w:spacing w:val="0"/>
          <w:sz w:val="16"/>
          <w:szCs w:val="16"/>
          <w:bdr w:val="none" w:color="auto" w:sz="0" w:space="0"/>
          <w:shd w:val="clear" w:fill="FFFFFF"/>
        </w:rPr>
        <w:t>为认真贯彻落实《中华人民共和国安全生产法》,在本市全面构建房屋建筑和市政基础设施工程施工安全风险分级管控和隐患排查治理双重预防控制体系,有效防范和遏制生产安全事故,现将有关事项通知如下:</w:t>
      </w:r>
    </w:p>
    <w:p w14:paraId="578346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A3A3A"/>
          <w:spacing w:val="0"/>
          <w:sz w:val="16"/>
          <w:szCs w:val="16"/>
        </w:rPr>
      </w:pPr>
      <w:r>
        <w:rPr>
          <w:rFonts w:hint="eastAsia" w:ascii="微软雅黑" w:hAnsi="微软雅黑" w:eastAsia="微软雅黑" w:cs="微软雅黑"/>
          <w:i w:val="0"/>
          <w:iCs w:val="0"/>
          <w:caps w:val="0"/>
          <w:color w:val="3A3A3A"/>
          <w:spacing w:val="0"/>
          <w:sz w:val="16"/>
          <w:szCs w:val="16"/>
          <w:bdr w:val="none" w:color="auto" w:sz="0" w:space="0"/>
          <w:shd w:val="clear" w:fill="FFFFFF"/>
        </w:rPr>
        <w:t>一、严格落实风险分级管控制度</w:t>
      </w:r>
    </w:p>
    <w:p w14:paraId="2F379B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A3A3A"/>
          <w:spacing w:val="0"/>
          <w:sz w:val="16"/>
          <w:szCs w:val="16"/>
        </w:rPr>
      </w:pPr>
      <w:r>
        <w:rPr>
          <w:rFonts w:hint="eastAsia" w:ascii="微软雅黑" w:hAnsi="微软雅黑" w:eastAsia="微软雅黑" w:cs="微软雅黑"/>
          <w:i w:val="0"/>
          <w:iCs w:val="0"/>
          <w:caps w:val="0"/>
          <w:color w:val="3A3A3A"/>
          <w:spacing w:val="0"/>
          <w:sz w:val="16"/>
          <w:szCs w:val="16"/>
          <w:bdr w:val="none" w:color="auto" w:sz="0" w:space="0"/>
          <w:shd w:val="clear" w:fill="FFFFFF"/>
        </w:rPr>
        <w:t>(一)制定工程风险评估报告。建设单位要严格落实安全管理首要责任,项目开工前,应组织勘察、设计、监理、施工总承包等单位开展工程风险辨识。风险辨识应考虑工程自身风险和周边环境风险两个方面,对工程建设的全过程和各分部分项工程进行风险辨识,对辨识出的安全风险进行风险评价,确定安全风险类别和等级(重大风险、较大风险、一般风险、低风险),建立分级管控体系,形成工程风险评估报告,经建设、勘察、设计、监理、施工总承包单位总工程师签认后,严格组织实施。</w:t>
      </w:r>
    </w:p>
    <w:p w14:paraId="26EBC7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A3A3A"/>
          <w:spacing w:val="0"/>
          <w:sz w:val="16"/>
          <w:szCs w:val="16"/>
        </w:rPr>
      </w:pPr>
      <w:r>
        <w:rPr>
          <w:rFonts w:hint="eastAsia" w:ascii="微软雅黑" w:hAnsi="微软雅黑" w:eastAsia="微软雅黑" w:cs="微软雅黑"/>
          <w:i w:val="0"/>
          <w:iCs w:val="0"/>
          <w:caps w:val="0"/>
          <w:color w:val="3A3A3A"/>
          <w:spacing w:val="0"/>
          <w:sz w:val="16"/>
          <w:szCs w:val="16"/>
          <w:bdr w:val="none" w:color="auto" w:sz="0" w:space="0"/>
          <w:shd w:val="clear" w:fill="FFFFFF"/>
        </w:rPr>
        <w:t>(二)制定施工管控措施。施工总承包单位应依据工程风险评估报告,制定风险分级管控专项方案,明确各级风险管控的具体措施和责任人,经建设、监理、施工总承包单位总工程师签认后,严格组织实施。实施风险层级管控,对不同等级的风险点位,施工总承包单位应结合实际明确管控责任部门和责任人。施工总承包单位应编制事故险情应急预案。监理单位应制定风险分级管控监理实施细则,明确各级风险管控的监理控制程序与监理方法,经总监理工程师签认后,严格组织实施。监理单位应对施工总承包单位落实风险分级管控情况进行检查,对较大以上的风险点位实施旁站监理,确保风险分级管控措施落实到位。</w:t>
      </w:r>
    </w:p>
    <w:p w14:paraId="724DA7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A3A3A"/>
          <w:spacing w:val="0"/>
          <w:sz w:val="16"/>
          <w:szCs w:val="16"/>
        </w:rPr>
      </w:pPr>
      <w:r>
        <w:rPr>
          <w:rFonts w:hint="eastAsia" w:ascii="微软雅黑" w:hAnsi="微软雅黑" w:eastAsia="微软雅黑" w:cs="微软雅黑"/>
          <w:i w:val="0"/>
          <w:iCs w:val="0"/>
          <w:caps w:val="0"/>
          <w:color w:val="3A3A3A"/>
          <w:spacing w:val="0"/>
          <w:sz w:val="16"/>
          <w:szCs w:val="16"/>
          <w:bdr w:val="none" w:color="auto" w:sz="0" w:space="0"/>
          <w:shd w:val="clear" w:fill="FFFFFF"/>
        </w:rPr>
        <w:t>(三)实施风险动态管理。建设、监理、施工总承包单位应高度关注工程风险变化情况,对未预判到的安全风险和因施工组织产生的新安全风险等,实施动态评估,及时调整风险评估报告、施工管控措施和监理实施细则,并重新报相关负责人审签后,严格组织实施,确保安全风险始终处于受控范围。风险施工过后,施工总承包单位应对风险管控进行效果验证,不断完善风险管控措施,提升施工安全管理水平。</w:t>
      </w:r>
    </w:p>
    <w:p w14:paraId="419BE5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A3A3A"/>
          <w:spacing w:val="0"/>
          <w:sz w:val="16"/>
          <w:szCs w:val="16"/>
        </w:rPr>
      </w:pPr>
      <w:r>
        <w:rPr>
          <w:rFonts w:hint="eastAsia" w:ascii="微软雅黑" w:hAnsi="微软雅黑" w:eastAsia="微软雅黑" w:cs="微软雅黑"/>
          <w:i w:val="0"/>
          <w:iCs w:val="0"/>
          <w:caps w:val="0"/>
          <w:color w:val="3A3A3A"/>
          <w:spacing w:val="0"/>
          <w:sz w:val="16"/>
          <w:szCs w:val="16"/>
          <w:bdr w:val="none" w:color="auto" w:sz="0" w:space="0"/>
          <w:shd w:val="clear" w:fill="FFFFFF"/>
        </w:rPr>
        <w:t>(四)建立安全风险公告制度。在工地明显位置设置风险公告标识牌,随工程风险进展及时更换,公布工程的主要风险点、风险类别、风险等级、管控措施和应急措施。施工总承包单位应加强风险教育、技能培训、安全技术交底工作,确保管理人员和一线作业人员掌握工程存在的安全风险及防范、应急措施。</w:t>
      </w:r>
    </w:p>
    <w:p w14:paraId="7E1BBE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A3A3A"/>
          <w:spacing w:val="0"/>
          <w:sz w:val="16"/>
          <w:szCs w:val="16"/>
        </w:rPr>
      </w:pPr>
      <w:r>
        <w:rPr>
          <w:rFonts w:hint="eastAsia" w:ascii="微软雅黑" w:hAnsi="微软雅黑" w:eastAsia="微软雅黑" w:cs="微软雅黑"/>
          <w:i w:val="0"/>
          <w:iCs w:val="0"/>
          <w:caps w:val="0"/>
          <w:color w:val="3A3A3A"/>
          <w:spacing w:val="0"/>
          <w:sz w:val="16"/>
          <w:szCs w:val="16"/>
          <w:bdr w:val="none" w:color="auto" w:sz="0" w:space="0"/>
          <w:shd w:val="clear" w:fill="FFFFFF"/>
        </w:rPr>
        <w:t>二、严格开展隐患排查整治工作</w:t>
      </w:r>
    </w:p>
    <w:p w14:paraId="4F8098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A3A3A"/>
          <w:spacing w:val="0"/>
          <w:sz w:val="16"/>
          <w:szCs w:val="16"/>
        </w:rPr>
      </w:pPr>
      <w:r>
        <w:rPr>
          <w:rFonts w:hint="eastAsia" w:ascii="微软雅黑" w:hAnsi="微软雅黑" w:eastAsia="微软雅黑" w:cs="微软雅黑"/>
          <w:i w:val="0"/>
          <w:iCs w:val="0"/>
          <w:caps w:val="0"/>
          <w:color w:val="3A3A3A"/>
          <w:spacing w:val="0"/>
          <w:sz w:val="16"/>
          <w:szCs w:val="16"/>
          <w:bdr w:val="none" w:color="auto" w:sz="0" w:space="0"/>
          <w:shd w:val="clear" w:fill="FFFFFF"/>
        </w:rPr>
        <w:t>(一)落实隐患排查治理工作机制。建设、监理、施工总承包单位应当严格落实生产安全事故隐患排查治理制度,采取技术、管理措施,及时发现并消除事故隐患。施工总承包单位的法定代表人及其他相关负责人应当对其所承包的建设项目实施现场检查,每个项目每月检查不得少于一次。项目负责人应当在每日施工作业前组织施工安全隐患排查,做好排查记录,及时消除安全隐患,安全隐患未消除的部位及其影响的区域不得施工作业,安全隐患未消除的设备、设施不得使用。建设、监理单位应定期对施工总承包单位隐患排查治理工作情况进行检查。</w:t>
      </w:r>
    </w:p>
    <w:p w14:paraId="397B2F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A3A3A"/>
          <w:spacing w:val="0"/>
          <w:sz w:val="16"/>
          <w:szCs w:val="16"/>
        </w:rPr>
      </w:pPr>
      <w:r>
        <w:rPr>
          <w:rFonts w:hint="eastAsia" w:ascii="微软雅黑" w:hAnsi="微软雅黑" w:eastAsia="微软雅黑" w:cs="微软雅黑"/>
          <w:i w:val="0"/>
          <w:iCs w:val="0"/>
          <w:caps w:val="0"/>
          <w:color w:val="3A3A3A"/>
          <w:spacing w:val="0"/>
          <w:sz w:val="16"/>
          <w:szCs w:val="16"/>
          <w:bdr w:val="none" w:color="auto" w:sz="0" w:space="0"/>
          <w:shd w:val="clear" w:fill="FFFFFF"/>
        </w:rPr>
        <w:t>(二)严格隐患排查整改台账管理。安全隐患排查内容应包括工程风险点位、安全管理、责任落实、教育培训、操作行为、环境条件、执业健康等方面,重大事故隐患应执行住房和城乡建设部《房屋市政工程生产安全重大事故隐患判定标准(2022版)》。结合风险分级管控,制定隐患排查整改台账,明确隐患排查治理标准和责任人,实施动态销号管理。</w:t>
      </w:r>
    </w:p>
    <w:p w14:paraId="7607DE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A3A3A"/>
          <w:spacing w:val="0"/>
          <w:sz w:val="16"/>
          <w:szCs w:val="16"/>
        </w:rPr>
      </w:pPr>
      <w:r>
        <w:rPr>
          <w:rFonts w:hint="eastAsia" w:ascii="微软雅黑" w:hAnsi="微软雅黑" w:eastAsia="微软雅黑" w:cs="微软雅黑"/>
          <w:i w:val="0"/>
          <w:iCs w:val="0"/>
          <w:caps w:val="0"/>
          <w:color w:val="3A3A3A"/>
          <w:spacing w:val="0"/>
          <w:sz w:val="16"/>
          <w:szCs w:val="16"/>
          <w:bdr w:val="none" w:color="auto" w:sz="0" w:space="0"/>
          <w:shd w:val="clear" w:fill="FFFFFF"/>
        </w:rPr>
        <w:t>(三)严格落实隐患整改。隐患整改应做到责任、措施、资金、时限和预案“五落实”。施工现场不具备施工安全条件或者安全隐患未消除而进行施工的,监理单位应当要求施工单位进行整改或者停工整改,拒不整改的,工程监理单位应当及时向住建执法部门报告。</w:t>
      </w:r>
    </w:p>
    <w:p w14:paraId="1ACB95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A3A3A"/>
          <w:spacing w:val="0"/>
          <w:sz w:val="16"/>
          <w:szCs w:val="16"/>
        </w:rPr>
      </w:pPr>
      <w:r>
        <w:rPr>
          <w:rFonts w:hint="eastAsia" w:ascii="微软雅黑" w:hAnsi="微软雅黑" w:eastAsia="微软雅黑" w:cs="微软雅黑"/>
          <w:i w:val="0"/>
          <w:iCs w:val="0"/>
          <w:caps w:val="0"/>
          <w:color w:val="3A3A3A"/>
          <w:spacing w:val="0"/>
          <w:sz w:val="16"/>
          <w:szCs w:val="16"/>
          <w:bdr w:val="none" w:color="auto" w:sz="0" w:space="0"/>
          <w:shd w:val="clear" w:fill="FFFFFF"/>
        </w:rPr>
        <w:t>(四)严格重大隐患督办机制。重大事故隐患排查治理情况应当及时向住建执法部门报告。市、区住建执法部门应当建立健全重大事故隐患挂牌督办制度,对督查、检查执法、日常巡查、企业个人举报以及各区住建部门提请挂牌的重大隐患,进行挂牌督办,督促责任单位消除重大事故隐患。</w:t>
      </w:r>
    </w:p>
    <w:p w14:paraId="0CF7FD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A3A3A"/>
          <w:spacing w:val="0"/>
          <w:sz w:val="16"/>
          <w:szCs w:val="16"/>
        </w:rPr>
      </w:pPr>
      <w:r>
        <w:rPr>
          <w:rFonts w:hint="eastAsia" w:ascii="微软雅黑" w:hAnsi="微软雅黑" w:eastAsia="微软雅黑" w:cs="微软雅黑"/>
          <w:i w:val="0"/>
          <w:iCs w:val="0"/>
          <w:caps w:val="0"/>
          <w:color w:val="3A3A3A"/>
          <w:spacing w:val="0"/>
          <w:sz w:val="16"/>
          <w:szCs w:val="16"/>
          <w:bdr w:val="none" w:color="auto" w:sz="0" w:space="0"/>
          <w:shd w:val="clear" w:fill="FFFFFF"/>
        </w:rPr>
        <w:t>三、工作要求</w:t>
      </w:r>
    </w:p>
    <w:p w14:paraId="3857C1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A3A3A"/>
          <w:spacing w:val="0"/>
          <w:sz w:val="16"/>
          <w:szCs w:val="16"/>
        </w:rPr>
      </w:pPr>
      <w:r>
        <w:rPr>
          <w:rFonts w:hint="eastAsia" w:ascii="微软雅黑" w:hAnsi="微软雅黑" w:eastAsia="微软雅黑" w:cs="微软雅黑"/>
          <w:i w:val="0"/>
          <w:iCs w:val="0"/>
          <w:caps w:val="0"/>
          <w:color w:val="3A3A3A"/>
          <w:spacing w:val="0"/>
          <w:sz w:val="16"/>
          <w:szCs w:val="16"/>
          <w:bdr w:val="none" w:color="auto" w:sz="0" w:space="0"/>
          <w:shd w:val="clear" w:fill="FFFFFF"/>
        </w:rPr>
        <w:t>(一)强化组织领导。各单位、各部门要牢固树立安全发展理念,切实担负起防范化解重大安全风险的政治责任,将建立完善风险分级管控和隐患排查治理双重预防机制作为贯彻落实《中华人民共和国安全生产法》的重要工作举措,各级主要负责同志要亲自研究部署,分管负责同志要组织研究具体的实施方案,细化分工,抓好统筹推进。各参建单位要充分认识建立风险分级管控和隐患排查治理双重预防机制的重大意义,可聘请第三方开展相关工作,要突出预防为主、关口前移,牢牢把握安全生产工作的主动权,</w:t>
      </w:r>
    </w:p>
    <w:p w14:paraId="0E8814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A3A3A"/>
          <w:spacing w:val="0"/>
          <w:sz w:val="16"/>
          <w:szCs w:val="16"/>
        </w:rPr>
      </w:pPr>
      <w:r>
        <w:rPr>
          <w:rFonts w:hint="eastAsia" w:ascii="微软雅黑" w:hAnsi="微软雅黑" w:eastAsia="微软雅黑" w:cs="微软雅黑"/>
          <w:i w:val="0"/>
          <w:iCs w:val="0"/>
          <w:caps w:val="0"/>
          <w:color w:val="3A3A3A"/>
          <w:spacing w:val="0"/>
          <w:sz w:val="16"/>
          <w:szCs w:val="16"/>
          <w:bdr w:val="none" w:color="auto" w:sz="0" w:space="0"/>
          <w:shd w:val="clear" w:fill="FFFFFF"/>
        </w:rPr>
        <w:t>(二)加强检查推动。市、区两级住建执法部门要将风险分级管控和隐患排查治理双重预防机制作为检查执法的重要内容,对未建立安全风险分级管控制度、未按照安全风险分级采取相应管控措施、未建立事故隐患排查治理制度或者重大事故隐患排查治理情况未按照规定报告的,依据《中华人民共和国安全生产法》予以严惩。</w:t>
      </w:r>
    </w:p>
    <w:p w14:paraId="644309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A3A3A"/>
          <w:spacing w:val="0"/>
          <w:sz w:val="16"/>
          <w:szCs w:val="16"/>
        </w:rPr>
      </w:pPr>
      <w:r>
        <w:rPr>
          <w:rFonts w:hint="eastAsia" w:ascii="微软雅黑" w:hAnsi="微软雅黑" w:eastAsia="微软雅黑" w:cs="微软雅黑"/>
          <w:i w:val="0"/>
          <w:iCs w:val="0"/>
          <w:caps w:val="0"/>
          <w:color w:val="3A3A3A"/>
          <w:spacing w:val="0"/>
          <w:sz w:val="16"/>
          <w:szCs w:val="16"/>
          <w:bdr w:val="none" w:color="auto" w:sz="0" w:space="0"/>
          <w:shd w:val="clear" w:fill="FFFFFF"/>
        </w:rPr>
        <w:t>(三)抓好示范带动。市区两级住建部门要选择一批在风险分级管控和隐患排查治理双重预防机制效果较好的项目作为标杆,组织观摩,交流推广经验,发挥标杆企业的示范带动作用,把典型企业的标准、制度、管理方法推广到同类企业中,以点带面,不断提高我市住建领域安全生产保障水平。</w:t>
      </w:r>
    </w:p>
    <w:p w14:paraId="0EC52F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A3A3A"/>
          <w:spacing w:val="0"/>
          <w:sz w:val="16"/>
          <w:szCs w:val="16"/>
        </w:rPr>
      </w:pPr>
      <w:r>
        <w:rPr>
          <w:rFonts w:hint="eastAsia" w:ascii="微软雅黑" w:hAnsi="微软雅黑" w:eastAsia="微软雅黑" w:cs="微软雅黑"/>
          <w:i w:val="0"/>
          <w:iCs w:val="0"/>
          <w:caps w:val="0"/>
          <w:color w:val="3A3A3A"/>
          <w:spacing w:val="0"/>
          <w:sz w:val="16"/>
          <w:szCs w:val="16"/>
          <w:bdr w:val="none" w:color="auto" w:sz="0" w:space="0"/>
          <w:shd w:val="clear" w:fill="FFFFFF"/>
        </w:rPr>
        <w:t>特此通知。</w:t>
      </w:r>
    </w:p>
    <w:p w14:paraId="41D013F4">
      <w:pPr>
        <w:jc w:val="left"/>
        <w:rPr>
          <w:rFonts w:ascii="微软雅黑" w:hAnsi="微软雅黑" w:eastAsia="微软雅黑" w:cs="微软雅黑"/>
          <w:i w:val="0"/>
          <w:iCs w:val="0"/>
          <w:caps w:val="0"/>
          <w:color w:val="000000"/>
          <w:spacing w:val="0"/>
          <w:sz w:val="24"/>
          <w:szCs w:val="2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kODcwM2ViODNjMDQyYTVkOWE5ZmZhZGI0NGRlOGIifQ=="/>
  </w:docVars>
  <w:rsids>
    <w:rsidRoot w:val="01CC5B4A"/>
    <w:rsid w:val="01CC5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2024-10-28T08:48:00Z</dcterms:created>
  <dc:creator>天涯还是天涯</dc:creator>
  <cp:lastModifiedBy>天涯还是天涯</cp:lastModifiedBy>
  <dcterms:modified xsi:type="dcterms:W3CDTF">2024-10-28T08:48:28Z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40290E893A4E4577B7A152438CA294BD_11</vt:lpwstr>
  </property>
</Properties>
</file>